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Chainage Wise Gap Analysis</w:t>
      </w:r>
    </w:p>
    <w:p>
      <w:pPr>
        <w:pStyle w:val="Heading1"/>
      </w:pPr>
      <w:r>
        <w:t>Chainage: All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4320"/>
            <w:shd w:fill="ADD8E6"/>
          </w:tcPr>
          <w:p>
            <w:r>
              <w:rPr>
                <w:b/>
              </w:rPr>
              <w:t>LHS + RHS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32.0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202.0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172.0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225.0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4320"/>
            <w:shd w:fill="ADD8E6"/>
          </w:tcPr>
          <w:p>
            <w:r>
              <w:rPr>
                <w:b/>
              </w:rPr>
              <w:t>LHS + RHS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59.0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282.0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146.0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173.0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376.0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4320"/>
            <w:shd w:fill="ADD8E6"/>
          </w:tcPr>
          <w:p>
            <w:r>
              <w:rPr>
                <w:b/>
              </w:rPr>
              <w:t>LHS + RHS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-27.0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-80.0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26.0</w:t>
            </w:r>
          </w:p>
        </w:tc>
      </w:tr>
      <w:tr>
        <w:tc>
          <w:tcPr>
            <w:tcW w:type="dxa" w:w="432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4320"/>
            <w:shd w:fill="FFFFFF"/>
            <w:vAlign w:val="center"/>
          </w:tcPr>
          <w:p>
            <w:r>
              <w:t>-169.0</w:t>
            </w:r>
          </w:p>
        </w:tc>
      </w:tr>
      <w:tr>
        <w:tc>
          <w:tcPr>
            <w:tcW w:type="dxa" w:w="432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4320"/>
            <w:shd w:fill="F0F8FF"/>
            <w:vAlign w:val="center"/>
          </w:tcPr>
          <w:p>
            <w:r>
              <w:t>-151.0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4200-4500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4500-4200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4500-4200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4500-4200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4500-5000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5000-5500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6.0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5500-6000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6000-6500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6500-7000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7000-7500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7500-8000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8000-8500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8500-9000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9000-9500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10000-9500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10000-10500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10500-11000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11000-11500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11500-12000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12000-12500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12500-13000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13000-13500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13500-14000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13500-14000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14000-14500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14500-15000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14500-15000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15000-15500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15500-16000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15500-16000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16000-16500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16500-17000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16500-17000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17000-17500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17500-18000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17500-18000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18000-18500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18500-19000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18500-19000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19000-19500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19500-20000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19500-20000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20000-20500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20500-21000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20500-21000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21000-21500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21500-22000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21500-22000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22000-22500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22500-23000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22500-23000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23000-23500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23500-24000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23500-24000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24000-24500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24500-25000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24500-25000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25000-25500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7.0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8.0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-7.0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-8.0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25500-26000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25500-26000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26000-26500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26500-27000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26500-27000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27000-27500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27500-28000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27500-28000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28000-28500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28500-29000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28500-29000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29000-29500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29500-29000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29500-30000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29500-30000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30000-29500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30000-30500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30500-31000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30500-31000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31000-31500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31500-32000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31500-32000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32000-32500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32500-33000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32500-33000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33000-33500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33500-34000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33500-34000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34000-34500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34500-35000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34500-35000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35000-35500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35500-36000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35500-36000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36000-36500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36500-37000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36500-37000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37000-37500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-8.0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-7.0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37500-38000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37500-38000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-7.0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38000-38500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38500-39000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38500-39000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39000-39500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39500-39000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39500-40000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39500-40000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40000-39500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40000-40500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40500-41000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40500-41000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41000-41500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41500-42000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41500-42000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42000-42500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42500-43000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42500-43000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43000-43500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43500-44000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43500-44000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44000-44500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44500-45000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44500-45000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45000-45500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45500-46000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45500-46000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46000-46500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46500-47000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46500-47000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47000-47500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47500-48000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47500-48000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48000-48500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48500-49000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48500-49000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49000-49500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49500-49000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49500-50000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49500-50000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50000-49500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50000-50500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50500-51000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50500-51000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51000-51500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51500-52000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51500-52000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52000-52500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52500-53000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52500-53000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53000-53500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53500-54000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53500-54000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54000-54500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54500-55000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54500-55000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55000-55500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9.0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55500-56000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55500-56000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56000-56500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56500-57000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56500-57000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57000-57500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57500-58000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57500-58000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58000-58500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58500-59000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58500-59000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59000-59500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59500-59000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59500-60000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59500-60000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60000-59500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60000-60500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60500-61000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60500-61000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61000-61500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61500-62000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61500-62000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62000-62500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62500-63000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62500-63000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63000-63500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63500-64000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63500-64000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64000-64500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64500-65000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64500-65000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65000-65500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65500-66000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65500-66000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66000-66500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66500-67000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66500-67000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67000-67500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67500-68000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67500-68000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68000-68500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68500-69000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68500-69000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69000-69500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69500-69000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69500-70000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69500-70000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70000-69500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70000-70500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70500-71000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70500-71000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71000-71500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71500-72000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71500-72000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72000-72500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72500-73000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72500-73000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73000-73500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73500-74000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73500-74000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74000-74500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74500-75000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74500-75000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75000-75500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75500-76000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75500-76000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76000-76500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76500-77000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76500-77000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77000-77500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77500-78000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77500-78000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78000-78500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78500-79000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78500-79000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79000-79500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79500-79000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79500-80000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79500-80000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80000-79500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80000-80500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80500-81000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80500-81000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81000-81500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81500-82000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81500-82000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82000-82500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82500-83000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82500-83000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83000-83500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83500-84000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83500-84000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84000-84500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8.0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9.0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-6.0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-7.0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84500-85000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84500-85000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85000-85500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85500-86000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85500-86000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86000-86500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8.0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-5.0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86500-87000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86500-87000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87000-87500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87500-88000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87500-88000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88000-88500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88500-89000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88500-89000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89000-89500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89500-89000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89500-90000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89500-90000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90000-89500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90000-90500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90500-91000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90500-91000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91000-91500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91500-92000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91500-92000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92000-92500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92500-93000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92500-93000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93000-93500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93500-94000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93500-94000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94000-94500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94500-95000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94500-95000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95000-95500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95500-96000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95500-96000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96000-96500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96500-97000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96500-97000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97000-97500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97500-98000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97500-98000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98000-98500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98500-99000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98500-99000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99000-99500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99500-99000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100000-99500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100000-99500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99500-100000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-5.0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100000-100500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100500-101000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100500-101000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101000-101500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101500-102000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101500-102000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102000-102500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102500-103000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102500-103000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103000-103500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103500-104000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6.0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103500-104000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-6.0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104000-104500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104500-105000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104500-105000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105000-105500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105500-106000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105500-106000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106000-106500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106500-107000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106500-107000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107000-107500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107500-108000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107500-108000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108000-108500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108500-109000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108500-109000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109000-109500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109500-109000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109500-110000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109500-110000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110000-109500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110000-110500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110500-111000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5.0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110500-111000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111000-111500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-7.0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-6.0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111500-112000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111500-112000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112000-112500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112500-113000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112500-113000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113000-112500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113000-113500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113500-113000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113500-114000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8.0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9.0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113500-114000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114000-113500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6.0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7.0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114000-114500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7.0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114500-114000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-5.0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-9.0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114500-115000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114500-115000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115000-114500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115000-115500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115500-115000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115500-116000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115500-116000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116000-115500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116000-116500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116500-116000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116500-117000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116500-117000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117000-116500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117000-117500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117500-117000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117500-118000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117500-118000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118000-117500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118000-118500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118500-118000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118500-119000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118500-119000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119000-118500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119000-119500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119500-119000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119500-120000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119500-120000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120000-119500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120000-120500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4.0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120500-120000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-3.0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120500-121000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120500-121000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121000-120500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121000-121500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121500-121000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121500-122000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121500-122000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122000-121500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-3.0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-2.0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-4.0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Chainage: 122000-122420</w:t>
      </w:r>
    </w:p>
    <w:p>
      <w:pPr>
        <w:pStyle w:val="Heading2"/>
      </w:pPr>
      <w:r>
        <w:t>PIU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122000-122420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122420-122000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RA Data: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122000-122420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122420-122000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1.0</w:t>
            </w:r>
          </w:p>
        </w:tc>
      </w:tr>
    </w:tbl>
    <w:p>
      <w:pPr>
        <w:pStyle w:val="Heading2"/>
      </w:pPr>
      <w:r>
        <w:t>Gap Analysis:</w:t>
      </w:r>
    </w:p>
    <w:tbl>
      <w:tblPr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  <w:shd w:fill="ADD8E6"/>
          </w:tcPr>
          <w:p>
            <w:r>
              <w:rPr>
                <w:b/>
              </w:rPr>
              <w:t>Furniture Assets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122000-122420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122420-122000</w:t>
            </w:r>
          </w:p>
        </w:tc>
        <w:tc>
          <w:tcPr>
            <w:tcW w:type="dxa" w:w="2160"/>
            <w:shd w:fill="ADD8E6"/>
          </w:tcPr>
          <w:p>
            <w:r>
              <w:rPr>
                <w:b/>
              </w:rPr>
              <w:t>LHS+RHS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Chevron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Cautionary Warning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Hazard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-1.0</w:t>
            </w:r>
          </w:p>
        </w:tc>
      </w:tr>
      <w:tr>
        <w:tc>
          <w:tcPr>
            <w:tcW w:type="dxa" w:w="2160"/>
            <w:shd w:fill="FFFFFF"/>
            <w:vAlign w:val="center"/>
          </w:tcPr>
          <w:p>
            <w:r>
              <w:t>Prohibitory Mandatory Signs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FFFFF"/>
            <w:vAlign w:val="center"/>
          </w:tcPr>
          <w:p>
            <w:r>
              <w:t>0.0</w:t>
            </w:r>
          </w:p>
        </w:tc>
      </w:tr>
      <w:tr>
        <w:tc>
          <w:tcPr>
            <w:tcW w:type="dxa" w:w="2160"/>
            <w:shd w:fill="F0F8FF"/>
            <w:vAlign w:val="center"/>
          </w:tcPr>
          <w:p>
            <w:r>
              <w:t>Informatory Signs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  <w:tc>
          <w:tcPr>
            <w:tcW w:type="dxa" w:w="2160"/>
            <w:shd w:fill="F0F8FF"/>
            <w:vAlign w:val="center"/>
          </w:tcPr>
          <w:p>
            <w:r>
              <w:t>0.0</w:t>
            </w:r>
          </w:p>
        </w:tc>
      </w:tr>
    </w:tbl>
    <w:p>
      <w:r>
        <w:drawing>
          <wp:inline xmlns:a="http://schemas.openxmlformats.org/drawingml/2006/main" xmlns:pic="http://schemas.openxmlformats.org/drawingml/2006/picture">
            <wp:extent cx="5029200" cy="3592286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9228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